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1C106101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proofErr w:type="spellStart"/>
      <w:r w:rsidR="003859AA">
        <w:rPr>
          <w:rFonts w:ascii="Calibri" w:hAnsi="Calibri" w:cs="Arial"/>
          <w:b/>
          <w:color w:val="548DD4" w:themeColor="text2" w:themeTint="99"/>
          <w:sz w:val="36"/>
          <w:szCs w:val="36"/>
        </w:rPr>
        <w:t>Crystella</w:t>
      </w:r>
      <w:proofErr w:type="spellEnd"/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3A95CE51" w:rsidR="00C610F6" w:rsidRDefault="003859AA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34A96090" wp14:editId="4663F4BE">
            <wp:extent cx="5270500" cy="2581001"/>
            <wp:effectExtent l="0" t="0" r="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8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65D76EA0" w:rsidR="00304D99" w:rsidRPr="009F1C9E" w:rsidRDefault="003859A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33’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14BBE757" w:rsidR="00304D99" w:rsidRPr="009F1C9E" w:rsidRDefault="003859A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1963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E1BD700" w:rsidR="00304D99" w:rsidRPr="009F1C9E" w:rsidRDefault="003859A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33/25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24905B00" w:rsidR="009503BE" w:rsidRPr="009F1C9E" w:rsidRDefault="003859A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10’3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0D140B05" w:rsidR="009503BE" w:rsidRPr="009F1C9E" w:rsidRDefault="003859A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teak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58AC1183" w:rsidR="009503BE" w:rsidRPr="009F1C9E" w:rsidRDefault="003859A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2’9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54F78792" w:rsidR="009503BE" w:rsidRPr="009F1C9E" w:rsidRDefault="003859A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Teak</w:t>
            </w: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5C28B4B7" w:rsidR="009503BE" w:rsidRPr="009F1C9E" w:rsidRDefault="003859A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Twin BMC 1.5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3718D431" w:rsidR="009503BE" w:rsidRPr="009F1C9E" w:rsidRDefault="003859A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Closed aft cockpit</w:t>
            </w: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20A9C06D" w:rsidR="009503BE" w:rsidRPr="009F1C9E" w:rsidRDefault="003859A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1500cc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2B47D750" w:rsidR="009503BE" w:rsidRPr="009F1C9E" w:rsidRDefault="003859A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4E9121B5" w:rsidR="009503BE" w:rsidRPr="009F1C9E" w:rsidRDefault="003859AA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Weybridge</w:t>
            </w: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9A3EAE7" w14:textId="77777777" w:rsidR="003859AA" w:rsidRDefault="003859AA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3859AA" w14:paraId="4546EFAF" w14:textId="77777777" w:rsidTr="00A7257D">
        <w:tc>
          <w:tcPr>
            <w:tcW w:w="1242" w:type="dxa"/>
          </w:tcPr>
          <w:p w14:paraId="3F104129" w14:textId="26CA3B08" w:rsidR="003859AA" w:rsidRPr="003859AA" w:rsidRDefault="003859A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hAnsiTheme="majorHAnsi" w:cs="Arial"/>
                <w:sz w:val="22"/>
                <w:szCs w:val="22"/>
              </w:rPr>
              <w:t>1963</w:t>
            </w:r>
          </w:p>
        </w:tc>
        <w:tc>
          <w:tcPr>
            <w:tcW w:w="7274" w:type="dxa"/>
          </w:tcPr>
          <w:p w14:paraId="6DA09A28" w14:textId="20F381D6" w:rsidR="003859AA" w:rsidRPr="003859AA" w:rsidRDefault="003859AA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Built for a Mr</w:t>
            </w: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Peter Jenkins of Huntingdon, and thought to </w:t>
            </w:r>
            <w:proofErr w:type="gramStart"/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be</w:t>
            </w:r>
            <w:proofErr w:type="gramEnd"/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the vessel displayed by Bates at the 1963 boat show. Directly after fitting out, she was cruised to the Great Ouse, </w:t>
            </w:r>
            <w:proofErr w:type="spellStart"/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Cambs</w:t>
            </w:r>
            <w:proofErr w:type="spellEnd"/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 and was kept on the east coast until March 1996.</w:t>
            </w:r>
          </w:p>
        </w:tc>
      </w:tr>
      <w:tr w:rsidR="003859AA" w14:paraId="02490B6E" w14:textId="77777777" w:rsidTr="00A7257D">
        <w:tc>
          <w:tcPr>
            <w:tcW w:w="1242" w:type="dxa"/>
          </w:tcPr>
          <w:p w14:paraId="761B0537" w14:textId="37475D66" w:rsidR="003859AA" w:rsidRPr="003859AA" w:rsidRDefault="003859A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hAnsiTheme="majorHAnsi" w:cs="Arial"/>
                <w:sz w:val="22"/>
                <w:szCs w:val="22"/>
              </w:rPr>
              <w:t>1996</w:t>
            </w:r>
          </w:p>
        </w:tc>
        <w:tc>
          <w:tcPr>
            <w:tcW w:w="7274" w:type="dxa"/>
          </w:tcPr>
          <w:p w14:paraId="05A411BC" w14:textId="6A6FD7DD" w:rsidR="003859AA" w:rsidRPr="003859AA" w:rsidRDefault="003859A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March, returned to home waters.</w:t>
            </w:r>
          </w:p>
        </w:tc>
      </w:tr>
      <w:tr w:rsidR="003859AA" w14:paraId="07699ED3" w14:textId="77777777" w:rsidTr="00A7257D">
        <w:tc>
          <w:tcPr>
            <w:tcW w:w="1242" w:type="dxa"/>
          </w:tcPr>
          <w:p w14:paraId="47481BEE" w14:textId="47D6F46F" w:rsidR="003859AA" w:rsidRPr="003859AA" w:rsidRDefault="003859A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hAnsiTheme="majorHAnsi" w:cs="Arial"/>
                <w:sz w:val="22"/>
                <w:szCs w:val="22"/>
              </w:rPr>
              <w:t>1979</w:t>
            </w:r>
          </w:p>
        </w:tc>
        <w:tc>
          <w:tcPr>
            <w:tcW w:w="7274" w:type="dxa"/>
          </w:tcPr>
          <w:p w14:paraId="3464504E" w14:textId="5FB9251B" w:rsidR="003859AA" w:rsidRPr="003859AA" w:rsidRDefault="003859A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Purchased by David Stuart.</w:t>
            </w:r>
          </w:p>
        </w:tc>
      </w:tr>
      <w:tr w:rsidR="003859AA" w14:paraId="7742D31F" w14:textId="77777777" w:rsidTr="00A7257D">
        <w:tc>
          <w:tcPr>
            <w:tcW w:w="1242" w:type="dxa"/>
          </w:tcPr>
          <w:p w14:paraId="79FEBA00" w14:textId="1C6C331F" w:rsidR="003859AA" w:rsidRPr="003859AA" w:rsidRDefault="003859A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hAnsiTheme="majorHAnsi" w:cs="Arial"/>
                <w:sz w:val="22"/>
                <w:szCs w:val="22"/>
              </w:rPr>
              <w:t>1990</w:t>
            </w:r>
          </w:p>
        </w:tc>
        <w:tc>
          <w:tcPr>
            <w:tcW w:w="7274" w:type="dxa"/>
          </w:tcPr>
          <w:p w14:paraId="3C32786D" w14:textId="574D74C1" w:rsidR="003859AA" w:rsidRPr="003859AA" w:rsidRDefault="003859AA" w:rsidP="003859A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For sale at L H </w:t>
            </w: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Jones &amp; Son Ltd.</w:t>
            </w:r>
          </w:p>
        </w:tc>
      </w:tr>
      <w:tr w:rsidR="003859AA" w14:paraId="7A214028" w14:textId="77777777" w:rsidTr="00A7257D">
        <w:tc>
          <w:tcPr>
            <w:tcW w:w="1242" w:type="dxa"/>
          </w:tcPr>
          <w:p w14:paraId="59AA512F" w14:textId="1A73EFDF" w:rsidR="003859AA" w:rsidRPr="003859AA" w:rsidRDefault="003859A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hAnsiTheme="majorHAnsi" w:cs="Arial"/>
                <w:sz w:val="22"/>
                <w:szCs w:val="22"/>
              </w:rPr>
              <w:t>September 1991</w:t>
            </w:r>
          </w:p>
        </w:tc>
        <w:tc>
          <w:tcPr>
            <w:tcW w:w="7274" w:type="dxa"/>
          </w:tcPr>
          <w:p w14:paraId="75F95AE7" w14:textId="682676C1" w:rsidR="003859AA" w:rsidRPr="003859AA" w:rsidRDefault="003859A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Purchased by Roger and Heather Greene.</w:t>
            </w:r>
          </w:p>
        </w:tc>
      </w:tr>
      <w:tr w:rsidR="003859AA" w14:paraId="5B09FCAB" w14:textId="77777777" w:rsidTr="00A7257D">
        <w:tc>
          <w:tcPr>
            <w:tcW w:w="1242" w:type="dxa"/>
          </w:tcPr>
          <w:p w14:paraId="68A742A1" w14:textId="6CC60F15" w:rsidR="003859AA" w:rsidRPr="003859AA" w:rsidRDefault="003859A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hAnsiTheme="majorHAnsi" w:cs="Arial"/>
                <w:sz w:val="22"/>
                <w:szCs w:val="22"/>
              </w:rPr>
              <w:t>1996</w:t>
            </w:r>
          </w:p>
        </w:tc>
        <w:tc>
          <w:tcPr>
            <w:tcW w:w="7274" w:type="dxa"/>
          </w:tcPr>
          <w:p w14:paraId="73B3FD51" w14:textId="5184FFFB" w:rsidR="003859AA" w:rsidRPr="003859AA" w:rsidRDefault="003859A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Winner of the Bill </w:t>
            </w:r>
            <w:proofErr w:type="spellStart"/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Gardam</w:t>
            </w:r>
            <w:proofErr w:type="spellEnd"/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Trophy and the House &amp; Garden Chalice at the Thames Tradi</w:t>
            </w: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ti</w:t>
            </w: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onal Boat Rally.</w:t>
            </w:r>
          </w:p>
        </w:tc>
      </w:tr>
      <w:tr w:rsidR="003859AA" w14:paraId="7E3ADC2C" w14:textId="77777777" w:rsidTr="00A7257D">
        <w:tc>
          <w:tcPr>
            <w:tcW w:w="1242" w:type="dxa"/>
          </w:tcPr>
          <w:p w14:paraId="34D64D70" w14:textId="053D8701" w:rsidR="003859AA" w:rsidRPr="003859AA" w:rsidRDefault="003859A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hAnsiTheme="majorHAnsi" w:cs="Arial"/>
                <w:sz w:val="22"/>
                <w:szCs w:val="22"/>
              </w:rPr>
              <w:t>1997</w:t>
            </w:r>
          </w:p>
        </w:tc>
        <w:tc>
          <w:tcPr>
            <w:tcW w:w="7274" w:type="dxa"/>
          </w:tcPr>
          <w:p w14:paraId="1C6588B9" w14:textId="765D214A" w:rsidR="003859AA" w:rsidRPr="003859AA" w:rsidRDefault="003859A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Winner of The Bates Wheel, Thames Tradi</w:t>
            </w: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ti</w:t>
            </w: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onal Boat Rally. Moved to Weymouth harbour.</w:t>
            </w:r>
          </w:p>
        </w:tc>
      </w:tr>
      <w:tr w:rsidR="003859AA" w14:paraId="3A802211" w14:textId="77777777" w:rsidTr="00A7257D">
        <w:tc>
          <w:tcPr>
            <w:tcW w:w="1242" w:type="dxa"/>
          </w:tcPr>
          <w:p w14:paraId="0D8E2F0A" w14:textId="2470D3E8" w:rsidR="003859AA" w:rsidRPr="003859AA" w:rsidRDefault="003859A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hAnsiTheme="majorHAnsi" w:cs="Arial"/>
                <w:sz w:val="22"/>
                <w:szCs w:val="22"/>
              </w:rPr>
              <w:t>1999</w:t>
            </w:r>
          </w:p>
        </w:tc>
        <w:tc>
          <w:tcPr>
            <w:tcW w:w="7274" w:type="dxa"/>
          </w:tcPr>
          <w:p w14:paraId="22AF4F40" w14:textId="524C890E" w:rsidR="003859AA" w:rsidRPr="003859AA" w:rsidRDefault="003859A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Moved</w:t>
            </w: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by road to the Severn Motor Yacht Club, River Severn, </w:t>
            </w:r>
            <w:proofErr w:type="gramStart"/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Worcester</w:t>
            </w:r>
            <w:proofErr w:type="gramEnd"/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3859AA" w14:paraId="5C5733D3" w14:textId="77777777" w:rsidTr="00A7257D">
        <w:tc>
          <w:tcPr>
            <w:tcW w:w="1242" w:type="dxa"/>
          </w:tcPr>
          <w:p w14:paraId="10C87294" w14:textId="177E3B02" w:rsidR="003859AA" w:rsidRPr="003859AA" w:rsidRDefault="003859A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hAnsiTheme="majorHAnsi" w:cs="Arial"/>
                <w:sz w:val="22"/>
                <w:szCs w:val="22"/>
              </w:rPr>
              <w:t>2003</w:t>
            </w:r>
          </w:p>
        </w:tc>
        <w:tc>
          <w:tcPr>
            <w:tcW w:w="7274" w:type="dxa"/>
          </w:tcPr>
          <w:p w14:paraId="74E04F82" w14:textId="37840B71" w:rsidR="003859AA" w:rsidRPr="003859AA" w:rsidRDefault="003859A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Purchased by John Williams of Chertsey.</w:t>
            </w:r>
          </w:p>
        </w:tc>
      </w:tr>
      <w:tr w:rsidR="003859AA" w14:paraId="40526CFA" w14:textId="77777777" w:rsidTr="00A7257D">
        <w:tc>
          <w:tcPr>
            <w:tcW w:w="1242" w:type="dxa"/>
          </w:tcPr>
          <w:p w14:paraId="088E0C3E" w14:textId="60AA7964" w:rsidR="003859AA" w:rsidRPr="003859AA" w:rsidRDefault="003859AA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hAnsiTheme="majorHAnsi" w:cs="Arial"/>
                <w:sz w:val="22"/>
                <w:szCs w:val="22"/>
              </w:rPr>
              <w:t>February 2004</w:t>
            </w:r>
          </w:p>
        </w:tc>
        <w:tc>
          <w:tcPr>
            <w:tcW w:w="7274" w:type="dxa"/>
          </w:tcPr>
          <w:p w14:paraId="4C785B46" w14:textId="5FB7BC93" w:rsidR="003859AA" w:rsidRPr="003859AA" w:rsidRDefault="003859AA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Hull repainted by Terry </w:t>
            </w:r>
            <w:proofErr w:type="spellStart"/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Dann</w:t>
            </w:r>
            <w:proofErr w:type="spellEnd"/>
            <w:r w:rsidRPr="003859A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at Penton Hook Marina.</w:t>
            </w: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E3E7BBA" w14:textId="77777777" w:rsidR="003859AA" w:rsidRPr="003859AA" w:rsidRDefault="003859AA" w:rsidP="003859AA">
      <w:pPr>
        <w:rPr>
          <w:rFonts w:ascii="Times" w:eastAsia="Times New Roman" w:hAnsi="Times" w:cs="Times New Roman"/>
          <w:sz w:val="20"/>
          <w:szCs w:val="20"/>
        </w:rPr>
      </w:pPr>
    </w:p>
    <w:p w14:paraId="352B7B34" w14:textId="77777777" w:rsidR="003859AA" w:rsidRDefault="003859AA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3859A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3859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38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2017-12-07T14:58:00Z</dcterms:created>
  <dcterms:modified xsi:type="dcterms:W3CDTF">2017-12-07T14:58:00Z</dcterms:modified>
</cp:coreProperties>
</file>